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22760" w14:textId="77777777" w:rsidR="00A526E4" w:rsidRDefault="00055BCF">
      <w:pPr>
        <w:snapToGrid w:val="0"/>
        <w:spacing w:line="360" w:lineRule="auto"/>
        <w:rPr>
          <w:rFonts w:ascii="方正仿宋_GBK" w:eastAsia="方正仿宋_GBK" w:hAnsi="宋体"/>
          <w:b/>
          <w:bCs/>
          <w:sz w:val="32"/>
          <w:szCs w:val="24"/>
        </w:rPr>
      </w:pPr>
      <w:r>
        <w:rPr>
          <w:rFonts w:ascii="方正仿宋_GBK" w:eastAsia="方正仿宋_GBK" w:hAnsi="宋体" w:hint="eastAsia"/>
          <w:b/>
          <w:bCs/>
          <w:sz w:val="32"/>
          <w:szCs w:val="24"/>
        </w:rPr>
        <w:t>附表一</w:t>
      </w:r>
    </w:p>
    <w:p w14:paraId="572D926C" w14:textId="77777777" w:rsidR="00A526E4" w:rsidRDefault="00055BCF">
      <w:pPr>
        <w:snapToGrid w:val="0"/>
        <w:spacing w:line="360" w:lineRule="auto"/>
        <w:ind w:firstLineChars="595" w:firstLine="2150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电子阴道镜配置及参数</w:t>
      </w:r>
    </w:p>
    <w:p w14:paraId="0A571F84" w14:textId="77777777" w:rsidR="00A526E4" w:rsidRDefault="00055BCF">
      <w:pPr>
        <w:pStyle w:val="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一、</w:t>
      </w:r>
      <w:r>
        <w:rPr>
          <w:rFonts w:ascii="宋体" w:hAnsi="宋体" w:cs="宋体" w:hint="eastAsia"/>
          <w:b/>
          <w:kern w:val="0"/>
          <w:sz w:val="24"/>
        </w:rPr>
        <w:t>镜头性能要求：</w:t>
      </w:r>
    </w:p>
    <w:p w14:paraId="4B60BC1B" w14:textId="77777777" w:rsidR="00A526E4" w:rsidRDefault="00055BCF">
      <w:pPr>
        <w:pStyle w:val="1"/>
        <w:snapToGrid w:val="0"/>
        <w:spacing w:line="360" w:lineRule="auto"/>
        <w:ind w:firstLineChars="0"/>
        <w:rPr>
          <w:rFonts w:ascii="宋体" w:hAnsi="宋体"/>
          <w:bCs/>
          <w:kern w:val="0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1.</w:t>
      </w:r>
      <w:r>
        <w:rPr>
          <w:rFonts w:ascii="宋体" w:hAnsi="宋体" w:hint="eastAsia"/>
          <w:color w:val="000000" w:themeColor="text1"/>
          <w:szCs w:val="21"/>
        </w:rPr>
        <w:t>★</w:t>
      </w:r>
      <w:r>
        <w:rPr>
          <w:rFonts w:ascii="宋体" w:hAnsi="宋体" w:hint="eastAsia"/>
          <w:szCs w:val="21"/>
        </w:rPr>
        <w:t>镜头具有光学连续变焦、自动聚焦和高清</w:t>
      </w:r>
      <w:r>
        <w:rPr>
          <w:rFonts w:ascii="宋体" w:hAnsi="宋体" w:hint="eastAsia"/>
          <w:szCs w:val="21"/>
        </w:rPr>
        <w:t>CMOS</w:t>
      </w:r>
      <w:r>
        <w:rPr>
          <w:rFonts w:ascii="宋体" w:hAnsi="宋体" w:hint="eastAsia"/>
          <w:szCs w:val="21"/>
        </w:rPr>
        <w:t>成像功能，输出</w:t>
      </w:r>
      <w:r>
        <w:rPr>
          <w:rFonts w:ascii="宋体" w:hAnsi="宋体" w:hint="eastAsia"/>
          <w:szCs w:val="21"/>
        </w:rPr>
        <w:t>FULL HD1080P</w:t>
      </w:r>
      <w:r>
        <w:rPr>
          <w:rFonts w:ascii="宋体" w:hAnsi="宋体" w:hint="eastAsia"/>
          <w:szCs w:val="21"/>
        </w:rPr>
        <w:t>信号；</w:t>
      </w:r>
    </w:p>
    <w:p w14:paraId="591D37A4" w14:textId="77777777" w:rsidR="00A526E4" w:rsidRDefault="00055BCF">
      <w:pPr>
        <w:pStyle w:val="1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放大倍数支持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～</w:t>
      </w:r>
      <w:r>
        <w:rPr>
          <w:rFonts w:ascii="宋体" w:hAnsi="宋体" w:hint="eastAsia"/>
          <w:szCs w:val="21"/>
        </w:rPr>
        <w:t>60</w:t>
      </w:r>
      <w:r>
        <w:rPr>
          <w:rFonts w:ascii="宋体" w:hAnsi="宋体" w:hint="eastAsia"/>
          <w:szCs w:val="21"/>
        </w:rPr>
        <w:t>倍连续变倍，镜头须提供单独按键控制放大倍数显示或关闭功能，并可在打印报告中显示对图像的倍数标记；</w:t>
      </w:r>
    </w:p>
    <w:p w14:paraId="50EC74A1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bCs/>
          <w:kern w:val="0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有效操作距离应满足：</w:t>
      </w:r>
      <w:r>
        <w:rPr>
          <w:rFonts w:ascii="宋体" w:hAnsi="宋体" w:hint="eastAsia"/>
          <w:szCs w:val="21"/>
        </w:rPr>
        <w:t>200mm</w:t>
      </w:r>
      <w:r>
        <w:rPr>
          <w:rFonts w:ascii="宋体" w:hAnsi="宋体" w:hint="eastAsia"/>
          <w:szCs w:val="21"/>
        </w:rPr>
        <w:t>～</w:t>
      </w:r>
      <w:r>
        <w:rPr>
          <w:rFonts w:ascii="宋体" w:hAnsi="宋体"/>
          <w:szCs w:val="21"/>
        </w:rPr>
        <w:t>300mm</w:t>
      </w:r>
      <w:r>
        <w:rPr>
          <w:rFonts w:ascii="宋体" w:hAnsi="宋体" w:hint="eastAsia"/>
          <w:szCs w:val="21"/>
        </w:rPr>
        <w:t>，视场范围满足：≥</w:t>
      </w:r>
      <w:r>
        <w:rPr>
          <w:rFonts w:ascii="宋体" w:hAnsi="宋体"/>
          <w:szCs w:val="21"/>
        </w:rPr>
        <w:t>Ø</w:t>
      </w:r>
      <w:r>
        <w:rPr>
          <w:rFonts w:ascii="宋体" w:hAnsi="宋体" w:hint="eastAsia"/>
          <w:szCs w:val="21"/>
        </w:rPr>
        <w:t xml:space="preserve">100mm(3X), </w:t>
      </w:r>
      <w:r>
        <w:rPr>
          <w:rFonts w:ascii="宋体" w:hAnsi="宋体" w:hint="eastAsia"/>
          <w:szCs w:val="21"/>
        </w:rPr>
        <w:t>≥</w:t>
      </w:r>
      <w:r>
        <w:rPr>
          <w:rFonts w:ascii="宋体" w:hAnsi="宋体"/>
          <w:szCs w:val="21"/>
        </w:rPr>
        <w:t>Ø</w:t>
      </w:r>
      <w:r>
        <w:rPr>
          <w:rFonts w:ascii="宋体" w:hAnsi="宋体" w:hint="eastAsia"/>
          <w:szCs w:val="21"/>
        </w:rPr>
        <w:t>15mm(18X)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kern w:val="0"/>
          <w:szCs w:val="21"/>
        </w:rPr>
        <w:t>景深：≥</w:t>
      </w:r>
      <w:r>
        <w:rPr>
          <w:rFonts w:ascii="宋体" w:hAnsi="宋体" w:hint="eastAsia"/>
          <w:kern w:val="0"/>
          <w:szCs w:val="21"/>
        </w:rPr>
        <w:t xml:space="preserve">120mm(6X), </w:t>
      </w:r>
      <w:r>
        <w:rPr>
          <w:rFonts w:ascii="宋体" w:hAnsi="宋体" w:hint="eastAsia"/>
          <w:kern w:val="0"/>
          <w:szCs w:val="21"/>
        </w:rPr>
        <w:t>≥</w:t>
      </w:r>
      <w:r>
        <w:rPr>
          <w:rFonts w:ascii="宋体" w:hAnsi="宋体" w:hint="eastAsia"/>
          <w:kern w:val="0"/>
          <w:szCs w:val="21"/>
        </w:rPr>
        <w:t>5mm(18X)</w:t>
      </w:r>
      <w:r>
        <w:rPr>
          <w:rFonts w:ascii="宋体" w:hAnsi="宋体" w:hint="eastAsia"/>
          <w:szCs w:val="21"/>
        </w:rPr>
        <w:t>；</w:t>
      </w:r>
    </w:p>
    <w:p w14:paraId="1A432D77" w14:textId="77777777" w:rsidR="00A526E4" w:rsidRDefault="00055BCF">
      <w:pPr>
        <w:pStyle w:val="1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</w:rPr>
        <w:t>有快速自动聚焦和手动聚焦功能，手动聚焦支持独立按键控制的微距调节功能；</w:t>
      </w:r>
    </w:p>
    <w:p w14:paraId="1E33F411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</w:t>
      </w:r>
      <w:r>
        <w:rPr>
          <w:rFonts w:ascii="宋体" w:hAnsi="宋体" w:hint="eastAsia"/>
          <w:szCs w:val="21"/>
        </w:rPr>
        <w:t>为方便临床检查操作，可通过镜头按键操作实现：对观察图像视野变换（放大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缩小）、手动可视焦距调节（</w:t>
      </w:r>
      <w:r>
        <w:rPr>
          <w:rFonts w:ascii="宋体" w:hAnsi="宋体" w:hint="eastAsia"/>
          <w:szCs w:val="21"/>
        </w:rPr>
        <w:t>+/-</w:t>
      </w:r>
      <w:r>
        <w:rPr>
          <w:rFonts w:ascii="宋体" w:hAnsi="宋体" w:hint="eastAsia"/>
          <w:szCs w:val="21"/>
        </w:rPr>
        <w:t>）、变色温观察（白光三级）、电子滤镜观察（绿光三级）、白平衡</w:t>
      </w:r>
      <w:r>
        <w:rPr>
          <w:rFonts w:ascii="宋体" w:hAnsi="宋体" w:hint="eastAsia"/>
          <w:szCs w:val="21"/>
        </w:rPr>
        <w:t>调节、计时显示和图像冻结功能，支持镜头手柄按键控制图像采集；</w:t>
      </w:r>
    </w:p>
    <w:p w14:paraId="4A26EEBE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6.</w:t>
      </w:r>
      <w:r>
        <w:rPr>
          <w:rFonts w:ascii="宋体" w:hAnsi="宋体" w:hint="eastAsia"/>
          <w:color w:val="000000" w:themeColor="text1"/>
          <w:szCs w:val="21"/>
        </w:rPr>
        <w:t>★</w:t>
      </w:r>
      <w:r>
        <w:rPr>
          <w:rFonts w:ascii="宋体" w:hAnsi="宋体" w:hint="eastAsia"/>
          <w:szCs w:val="21"/>
        </w:rPr>
        <w:t>亮度可调的环形高显色性贴片</w:t>
      </w:r>
      <w:r>
        <w:rPr>
          <w:rFonts w:ascii="宋体" w:hAnsi="宋体" w:hint="eastAsia"/>
          <w:szCs w:val="21"/>
        </w:rPr>
        <w:t>LED</w:t>
      </w:r>
      <w:r>
        <w:rPr>
          <w:rFonts w:ascii="宋体" w:hAnsi="宋体" w:hint="eastAsia"/>
          <w:szCs w:val="21"/>
        </w:rPr>
        <w:t>光源，与镜头集成一体，在</w:t>
      </w:r>
      <w:r>
        <w:rPr>
          <w:rFonts w:ascii="宋体" w:hAnsi="宋体" w:hint="eastAsia"/>
          <w:szCs w:val="21"/>
        </w:rPr>
        <w:t>200mm</w:t>
      </w:r>
      <w:r>
        <w:rPr>
          <w:rFonts w:ascii="宋体" w:hAnsi="宋体" w:hint="eastAsia"/>
          <w:szCs w:val="21"/>
        </w:rPr>
        <w:t>～</w:t>
      </w:r>
      <w:r>
        <w:rPr>
          <w:rFonts w:ascii="宋体" w:hAnsi="宋体"/>
          <w:szCs w:val="21"/>
        </w:rPr>
        <w:t>300mm</w:t>
      </w:r>
      <w:r>
        <w:rPr>
          <w:rFonts w:ascii="宋体" w:hAnsi="宋体" w:hint="eastAsia"/>
          <w:szCs w:val="21"/>
        </w:rPr>
        <w:t>工作距离范围内，光源照度≥</w:t>
      </w:r>
      <w:r>
        <w:rPr>
          <w:rFonts w:ascii="宋体" w:hAnsi="宋体" w:hint="eastAsia"/>
          <w:szCs w:val="21"/>
        </w:rPr>
        <w:t>3000Lx</w:t>
      </w:r>
      <w:r>
        <w:rPr>
          <w:rFonts w:ascii="宋体" w:hAnsi="宋体" w:hint="eastAsia"/>
          <w:szCs w:val="21"/>
        </w:rPr>
        <w:t>，色温范围：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00</w:t>
      </w:r>
      <w:r>
        <w:rPr>
          <w:rFonts w:ascii="宋体" w:hAnsi="宋体" w:hint="eastAsia"/>
          <w:szCs w:val="21"/>
        </w:rPr>
        <w:t>K</w:t>
      </w:r>
      <w:r>
        <w:rPr>
          <w:rFonts w:ascii="宋体" w:hAnsi="宋体" w:hint="eastAsia"/>
          <w:szCs w:val="21"/>
        </w:rPr>
        <w:t>～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/>
          <w:szCs w:val="21"/>
        </w:rPr>
        <w:t>000</w:t>
      </w:r>
      <w:r>
        <w:rPr>
          <w:rFonts w:ascii="宋体" w:hAnsi="宋体" w:hint="eastAsia"/>
          <w:szCs w:val="21"/>
        </w:rPr>
        <w:t>K</w:t>
      </w:r>
      <w:r>
        <w:rPr>
          <w:rFonts w:ascii="宋体" w:hAnsi="宋体" w:hint="eastAsia"/>
          <w:szCs w:val="21"/>
        </w:rPr>
        <w:t>，照明范围≥</w:t>
      </w:r>
      <w:r>
        <w:rPr>
          <w:rFonts w:ascii="宋体" w:hAnsi="宋体"/>
          <w:szCs w:val="21"/>
        </w:rPr>
        <w:t>Ø</w:t>
      </w:r>
      <w:r>
        <w:rPr>
          <w:rFonts w:ascii="宋体" w:hAnsi="宋体" w:hint="eastAsia"/>
          <w:szCs w:val="21"/>
        </w:rPr>
        <w:t>60mm</w:t>
      </w:r>
      <w:r>
        <w:rPr>
          <w:rFonts w:ascii="宋体" w:hAnsi="宋体" w:hint="eastAsia"/>
          <w:szCs w:val="21"/>
        </w:rPr>
        <w:t>；</w:t>
      </w:r>
    </w:p>
    <w:p w14:paraId="52A1BC33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</w:t>
      </w:r>
      <w:r>
        <w:rPr>
          <w:rFonts w:ascii="宋体" w:hAnsi="宋体" w:hint="eastAsia"/>
          <w:szCs w:val="21"/>
        </w:rPr>
        <w:t>可通过镜头操作按键独立控制醋酸试验计时标记显示和关闭功能，醋酸计时</w:t>
      </w:r>
      <w:proofErr w:type="gramStart"/>
      <w:r>
        <w:rPr>
          <w:rFonts w:ascii="宋体" w:hAnsi="宋体" w:hint="eastAsia"/>
          <w:szCs w:val="21"/>
        </w:rPr>
        <w:t>时</w:t>
      </w:r>
      <w:proofErr w:type="gramEnd"/>
      <w:r>
        <w:rPr>
          <w:rFonts w:ascii="宋体" w:hAnsi="宋体" w:hint="eastAsia"/>
          <w:szCs w:val="21"/>
        </w:rPr>
        <w:t>长可自定义设置，并可在打印报告中显示图像的醋酸反映时间标记，为检查过程提供量化评估依据；</w:t>
      </w:r>
    </w:p>
    <w:p w14:paraId="21BDCDD1" w14:textId="77777777" w:rsidR="00A526E4" w:rsidRDefault="00055BCF">
      <w:pPr>
        <w:pStyle w:val="1"/>
        <w:snapToGrid w:val="0"/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color w:val="000000" w:themeColor="text1"/>
          <w:szCs w:val="21"/>
        </w:rPr>
        <w:t>8.</w:t>
      </w:r>
      <w:r>
        <w:rPr>
          <w:rFonts w:ascii="宋体" w:hAnsi="宋体" w:hint="eastAsia"/>
          <w:color w:val="000000" w:themeColor="text1"/>
          <w:szCs w:val="21"/>
        </w:rPr>
        <w:t>★</w:t>
      </w:r>
      <w:r>
        <w:rPr>
          <w:rFonts w:ascii="宋体" w:hAnsi="宋体" w:hint="eastAsia"/>
          <w:szCs w:val="21"/>
        </w:rPr>
        <w:t>图像采集单元提供</w:t>
      </w:r>
      <w:r>
        <w:rPr>
          <w:rFonts w:ascii="宋体" w:hAnsi="宋体" w:hint="eastAsia"/>
          <w:szCs w:val="21"/>
        </w:rPr>
        <w:t>HDMI</w:t>
      </w:r>
      <w:r>
        <w:rPr>
          <w:rFonts w:ascii="宋体" w:hAnsi="宋体" w:hint="eastAsia"/>
          <w:szCs w:val="21"/>
        </w:rPr>
        <w:t>视频输出接口；</w:t>
      </w:r>
    </w:p>
    <w:p w14:paraId="098D83E0" w14:textId="77777777" w:rsidR="00A526E4" w:rsidRDefault="00055BCF">
      <w:pPr>
        <w:pStyle w:val="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二、</w:t>
      </w:r>
      <w:r>
        <w:rPr>
          <w:rFonts w:ascii="宋体" w:hAnsi="宋体" w:cs="宋体" w:hint="eastAsia"/>
          <w:b/>
          <w:kern w:val="0"/>
          <w:sz w:val="24"/>
        </w:rPr>
        <w:t>阴道镜工作站性能要求：</w:t>
      </w:r>
    </w:p>
    <w:p w14:paraId="1508DDA7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★整机系统水平分辨率≥</w:t>
      </w:r>
      <w:r>
        <w:rPr>
          <w:rFonts w:ascii="宋体" w:hAnsi="宋体" w:hint="eastAsia"/>
          <w:szCs w:val="21"/>
        </w:rPr>
        <w:t>900</w:t>
      </w:r>
      <w:r>
        <w:rPr>
          <w:rFonts w:ascii="宋体" w:hAnsi="宋体" w:hint="eastAsia"/>
          <w:szCs w:val="21"/>
        </w:rPr>
        <w:t>TVL</w:t>
      </w:r>
      <w:r>
        <w:rPr>
          <w:rFonts w:ascii="宋体" w:hAnsi="宋体" w:hint="eastAsia"/>
          <w:szCs w:val="21"/>
        </w:rPr>
        <w:t>，空间分辨率：≥</w:t>
      </w:r>
      <w:r>
        <w:rPr>
          <w:rFonts w:ascii="宋体" w:hAnsi="宋体" w:hint="eastAsia"/>
          <w:szCs w:val="21"/>
        </w:rPr>
        <w:t xml:space="preserve">14 </w:t>
      </w:r>
      <w:proofErr w:type="spellStart"/>
      <w:r>
        <w:rPr>
          <w:rFonts w:ascii="宋体" w:hAnsi="宋体" w:hint="eastAsia"/>
          <w:szCs w:val="21"/>
        </w:rPr>
        <w:t>lp</w:t>
      </w:r>
      <w:proofErr w:type="spellEnd"/>
      <w:r>
        <w:rPr>
          <w:rFonts w:ascii="宋体" w:hAnsi="宋体" w:hint="eastAsia"/>
          <w:szCs w:val="21"/>
        </w:rPr>
        <w:t xml:space="preserve">/mm, </w:t>
      </w:r>
      <w:r>
        <w:rPr>
          <w:rFonts w:ascii="宋体" w:hAnsi="宋体" w:hint="eastAsia"/>
          <w:szCs w:val="21"/>
        </w:rPr>
        <w:t>图像几何失真度≤</w:t>
      </w:r>
      <w:r>
        <w:rPr>
          <w:rFonts w:ascii="宋体" w:hAnsi="宋体" w:hint="eastAsia"/>
          <w:szCs w:val="21"/>
        </w:rPr>
        <w:t>3%</w:t>
      </w:r>
      <w:r>
        <w:rPr>
          <w:rFonts w:ascii="宋体" w:hAnsi="宋体" w:hint="eastAsia"/>
          <w:szCs w:val="21"/>
        </w:rPr>
        <w:t>，</w:t>
      </w:r>
      <w:r>
        <w:rPr>
          <w:szCs w:val="21"/>
        </w:rPr>
        <w:t>平均色彩还原</w:t>
      </w:r>
      <w:r>
        <w:rPr>
          <w:rFonts w:hint="eastAsia"/>
          <w:szCs w:val="21"/>
        </w:rPr>
        <w:t>误差</w:t>
      </w:r>
      <w:r>
        <w:rPr>
          <w:rFonts w:ascii="宋体" w:hAnsi="宋体" w:hint="eastAsia"/>
          <w:szCs w:val="21"/>
        </w:rPr>
        <w:t>≤</w:t>
      </w:r>
      <w:r>
        <w:rPr>
          <w:rFonts w:hint="eastAsia"/>
          <w:szCs w:val="21"/>
        </w:rPr>
        <w:t>20</w:t>
      </w:r>
      <w:r>
        <w:rPr>
          <w:szCs w:val="21"/>
        </w:rPr>
        <w:t xml:space="preserve"> NBS</w:t>
      </w:r>
      <w:r>
        <w:rPr>
          <w:rFonts w:hint="eastAsia"/>
          <w:szCs w:val="21"/>
        </w:rPr>
        <w:t>，</w:t>
      </w:r>
      <w:r>
        <w:rPr>
          <w:szCs w:val="21"/>
        </w:rPr>
        <w:t>饱和度</w:t>
      </w:r>
      <w:r>
        <w:rPr>
          <w:rFonts w:hint="eastAsia"/>
          <w:szCs w:val="21"/>
        </w:rPr>
        <w:t>值在</w:t>
      </w:r>
      <w:r>
        <w:rPr>
          <w:rFonts w:hint="eastAsia"/>
          <w:szCs w:val="21"/>
        </w:rPr>
        <w:t>95</w:t>
      </w:r>
      <w:r>
        <w:rPr>
          <w:szCs w:val="21"/>
        </w:rPr>
        <w:t>%</w:t>
      </w:r>
      <w:r>
        <w:rPr>
          <w:rFonts w:ascii="宋体" w:hAnsi="宋体" w:hint="eastAsia"/>
          <w:szCs w:val="21"/>
        </w:rPr>
        <w:t>～</w:t>
      </w:r>
      <w:r>
        <w:rPr>
          <w:szCs w:val="21"/>
        </w:rPr>
        <w:t>120%</w:t>
      </w:r>
      <w:r>
        <w:rPr>
          <w:rFonts w:ascii="宋体" w:hAnsi="宋体" w:hint="eastAsia"/>
          <w:szCs w:val="21"/>
        </w:rPr>
        <w:t>；</w:t>
      </w:r>
    </w:p>
    <w:p w14:paraId="102C08C4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提供满足多功能应用阴道镜工作站设计，集成显示观察、键盘输入、图文报告输出等功能，打印机前置放置，方便纸张安装及拿取报告，支持常用类型的喷墨打印机安放（如惠普、佳能、爱普生）；</w:t>
      </w:r>
    </w:p>
    <w:p w14:paraId="04590A6B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提供自动提示患者随访管理功能，医护人员可根据患者需求转入预约，让医院对高危患者进行有效的系统管理，同时患者信息及转诊阴道镜检查指征的集中录入，可有效提高医生阴道镜检查的效率，能够自动提醒医生随访管理病人数量；</w:t>
      </w:r>
    </w:p>
    <w:p w14:paraId="66F15BB9" w14:textId="77777777" w:rsidR="00A526E4" w:rsidRDefault="00055BCF">
      <w:pPr>
        <w:pStyle w:val="aa"/>
        <w:snapToGrid w:val="0"/>
        <w:spacing w:line="360" w:lineRule="auto"/>
        <w:ind w:left="42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</w:rPr>
        <w:t>★具有病例重点关注功能，医生可根据醒目的颜色和标记快速发现需要重点关注的患者，同时提供查询功能，便于医生快速查找患者信息；</w:t>
      </w:r>
    </w:p>
    <w:p w14:paraId="5458B288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5.</w:t>
      </w:r>
      <w:r>
        <w:rPr>
          <w:rFonts w:ascii="宋体" w:hAnsi="宋体" w:hint="eastAsia"/>
          <w:color w:val="000000" w:themeColor="text1"/>
          <w:szCs w:val="21"/>
        </w:rPr>
        <w:t>★</w:t>
      </w:r>
      <w:r>
        <w:rPr>
          <w:rFonts w:ascii="宋体" w:hAnsi="宋体" w:hint="eastAsia"/>
          <w:szCs w:val="21"/>
        </w:rPr>
        <w:t>能将阴道镜检查过程中生理盐水检查、醋酸染色检查和</w:t>
      </w:r>
      <w:proofErr w:type="gramStart"/>
      <w:r>
        <w:rPr>
          <w:rFonts w:ascii="宋体" w:hAnsi="宋体" w:hint="eastAsia"/>
          <w:szCs w:val="21"/>
        </w:rPr>
        <w:t>碘染色</w:t>
      </w:r>
      <w:proofErr w:type="gramEnd"/>
      <w:r>
        <w:rPr>
          <w:rFonts w:ascii="宋体" w:hAnsi="宋体" w:hint="eastAsia"/>
          <w:szCs w:val="21"/>
        </w:rPr>
        <w:t>检查所采集的图像按时间顺序同屏显示（图像数量≥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幅），方便医生对比分析患者病变部位</w:t>
      </w:r>
      <w:proofErr w:type="gramStart"/>
      <w:r>
        <w:rPr>
          <w:rFonts w:ascii="宋体" w:hAnsi="宋体" w:hint="eastAsia"/>
          <w:szCs w:val="21"/>
        </w:rPr>
        <w:t>醋白变化</w:t>
      </w:r>
      <w:proofErr w:type="gramEnd"/>
      <w:r>
        <w:rPr>
          <w:rFonts w:ascii="宋体" w:hAnsi="宋体" w:hint="eastAsia"/>
          <w:szCs w:val="21"/>
        </w:rPr>
        <w:t>和</w:t>
      </w:r>
      <w:proofErr w:type="gramStart"/>
      <w:r>
        <w:rPr>
          <w:rFonts w:ascii="宋体" w:hAnsi="宋体" w:hint="eastAsia"/>
          <w:szCs w:val="21"/>
        </w:rPr>
        <w:t>碘染色</w:t>
      </w:r>
      <w:proofErr w:type="gramEnd"/>
      <w:r>
        <w:rPr>
          <w:rFonts w:ascii="宋体" w:hAnsi="宋体" w:hint="eastAsia"/>
          <w:szCs w:val="21"/>
        </w:rPr>
        <w:t>的关联；</w:t>
      </w:r>
    </w:p>
    <w:p w14:paraId="69C5DB94" w14:textId="77777777" w:rsidR="00A526E4" w:rsidRDefault="00055BCF">
      <w:pPr>
        <w:pStyle w:val="aa"/>
        <w:tabs>
          <w:tab w:val="left" w:pos="252"/>
        </w:tabs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</w:t>
      </w:r>
      <w:r>
        <w:rPr>
          <w:rFonts w:ascii="宋体" w:hAnsi="宋体" w:hint="eastAsia"/>
          <w:szCs w:val="21"/>
        </w:rPr>
        <w:t>需提供符合</w:t>
      </w:r>
      <w:r>
        <w:rPr>
          <w:rFonts w:ascii="宋体" w:hAnsi="宋体"/>
          <w:szCs w:val="21"/>
        </w:rPr>
        <w:t>IFCPC2011</w:t>
      </w:r>
      <w:r>
        <w:rPr>
          <w:rFonts w:ascii="宋体" w:hAnsi="宋体" w:hint="eastAsia"/>
          <w:szCs w:val="21"/>
        </w:rPr>
        <w:t>阴道镜诊断术语及参考图谱，并可与当前检查患者检查图像对</w:t>
      </w:r>
      <w:r>
        <w:rPr>
          <w:rFonts w:ascii="宋体" w:hAnsi="宋体" w:hint="eastAsia"/>
          <w:szCs w:val="21"/>
        </w:rPr>
        <w:lastRenderedPageBreak/>
        <w:t>比显示在同一界面，方便对比参考，辅助检查医生做出准确判断；</w:t>
      </w:r>
    </w:p>
    <w:p w14:paraId="6685A43D" w14:textId="77777777" w:rsidR="00A526E4" w:rsidRDefault="00055BCF">
      <w:pPr>
        <w:pStyle w:val="aa"/>
        <w:tabs>
          <w:tab w:val="left" w:pos="252"/>
        </w:tabs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</w:t>
      </w:r>
      <w:r>
        <w:rPr>
          <w:rFonts w:ascii="宋体" w:hAnsi="宋体" w:hint="eastAsia"/>
          <w:szCs w:val="21"/>
        </w:rPr>
        <w:t>在观察检查界面中可快速查找患者历史资料，便于医生对比分析、追溯患者的检查与治疗过程；</w:t>
      </w:r>
    </w:p>
    <w:p w14:paraId="2FFAB272" w14:textId="77777777" w:rsidR="00A526E4" w:rsidRDefault="00055BCF">
      <w:pPr>
        <w:pStyle w:val="aa"/>
        <w:tabs>
          <w:tab w:val="left" w:pos="252"/>
        </w:tabs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8.</w:t>
      </w:r>
      <w:r>
        <w:rPr>
          <w:rFonts w:ascii="宋体" w:hAnsi="宋体" w:hint="eastAsia"/>
          <w:color w:val="000000" w:themeColor="text1"/>
          <w:szCs w:val="21"/>
        </w:rPr>
        <w:t>★</w:t>
      </w:r>
      <w:r>
        <w:rPr>
          <w:rFonts w:ascii="宋体" w:hAnsi="宋体" w:hint="eastAsia"/>
          <w:szCs w:val="21"/>
        </w:rPr>
        <w:t>提供</w:t>
      </w:r>
      <w:r>
        <w:rPr>
          <w:rFonts w:ascii="宋体" w:hAnsi="宋体" w:hint="eastAsia"/>
          <w:szCs w:val="21"/>
        </w:rPr>
        <w:t>R-way</w:t>
      </w:r>
      <w:r>
        <w:rPr>
          <w:rFonts w:ascii="宋体" w:hAnsi="宋体" w:hint="eastAsia"/>
          <w:szCs w:val="21"/>
        </w:rPr>
        <w:t>阴道镜诊断评估方法，量化检查流程，提供基于三种不同溶液实验结果关联“特征”的智能评估和报告系统</w:t>
      </w:r>
      <w:r>
        <w:rPr>
          <w:rFonts w:ascii="宋体" w:hAnsi="宋体" w:hint="eastAsia"/>
          <w:szCs w:val="21"/>
        </w:rPr>
        <w:t>，便于医生规范阴道镜检查流程和</w:t>
      </w:r>
      <w:proofErr w:type="gramStart"/>
      <w:r>
        <w:rPr>
          <w:rFonts w:ascii="宋体" w:hAnsi="宋体" w:hint="eastAsia"/>
          <w:szCs w:val="21"/>
        </w:rPr>
        <w:t>拟诊</w:t>
      </w:r>
      <w:proofErr w:type="gramEnd"/>
      <w:r>
        <w:rPr>
          <w:rFonts w:ascii="宋体" w:hAnsi="宋体" w:hint="eastAsia"/>
          <w:szCs w:val="21"/>
        </w:rPr>
        <w:t>结果，同时简化了阴道镜检查技术的培训难度，更适合基层医院使用。提供不少于</w:t>
      </w:r>
      <w:r>
        <w:rPr>
          <w:rFonts w:ascii="宋体" w:hAnsi="宋体" w:hint="eastAsia"/>
          <w:szCs w:val="21"/>
        </w:rPr>
        <w:t>50</w:t>
      </w:r>
      <w:r>
        <w:rPr>
          <w:rFonts w:ascii="宋体" w:hAnsi="宋体" w:hint="eastAsia"/>
          <w:szCs w:val="21"/>
        </w:rPr>
        <w:t>例病理确诊的病例资料</w:t>
      </w:r>
      <w:proofErr w:type="gramStart"/>
      <w:r>
        <w:rPr>
          <w:rFonts w:ascii="宋体" w:hAnsi="宋体" w:hint="eastAsia"/>
          <w:szCs w:val="21"/>
        </w:rPr>
        <w:t>供操作</w:t>
      </w:r>
      <w:proofErr w:type="gramEnd"/>
      <w:r>
        <w:rPr>
          <w:rFonts w:ascii="宋体" w:hAnsi="宋体" w:hint="eastAsia"/>
          <w:szCs w:val="21"/>
        </w:rPr>
        <w:t>练习，可提供进修培训其临床应用功能的教学医院；</w:t>
      </w:r>
    </w:p>
    <w:p w14:paraId="3F9C83AD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</w:t>
      </w:r>
      <w:r>
        <w:rPr>
          <w:rFonts w:ascii="宋体" w:hAnsi="宋体" w:hint="eastAsia"/>
          <w:szCs w:val="21"/>
        </w:rPr>
        <w:t>★具有</w:t>
      </w:r>
      <w:proofErr w:type="gramStart"/>
      <w:r>
        <w:rPr>
          <w:rFonts w:ascii="宋体" w:hAnsi="宋体" w:hint="eastAsia"/>
          <w:szCs w:val="21"/>
        </w:rPr>
        <w:t>自动采图功能</w:t>
      </w:r>
      <w:proofErr w:type="gramEnd"/>
      <w:r>
        <w:rPr>
          <w:rFonts w:ascii="宋体" w:hAnsi="宋体" w:hint="eastAsia"/>
          <w:szCs w:val="21"/>
        </w:rPr>
        <w:t>，给出临床检查流自动提示信息；</w:t>
      </w:r>
    </w:p>
    <w:p w14:paraId="72744987" w14:textId="77777777" w:rsidR="00A526E4" w:rsidRDefault="00055BCF">
      <w:pPr>
        <w:snapToGrid w:val="0"/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10.</w:t>
      </w:r>
      <w:r>
        <w:rPr>
          <w:rFonts w:ascii="宋体" w:hAnsi="宋体" w:hint="eastAsia"/>
          <w:szCs w:val="21"/>
        </w:rPr>
        <w:t>具有视频采集功能，能够在检查或手术过程中进行录像，并且对视频进行回放，回放过程中支持再次采集图像；</w:t>
      </w:r>
    </w:p>
    <w:p w14:paraId="7235BD65" w14:textId="77777777" w:rsidR="00A526E4" w:rsidRDefault="00055BCF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11.</w:t>
      </w:r>
      <w:r>
        <w:rPr>
          <w:rFonts w:ascii="宋体" w:hAnsi="宋体" w:hint="eastAsia"/>
          <w:szCs w:val="21"/>
        </w:rPr>
        <w:t>图像处理功能：可以对图像进行注释、标注，图像亮度、对比度可调；可对病变部位的面积、长度进行测量、标注到病例中；</w:t>
      </w:r>
    </w:p>
    <w:p w14:paraId="12AFC78D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12.</w:t>
      </w:r>
      <w:r>
        <w:rPr>
          <w:rFonts w:ascii="宋体" w:hAnsi="宋体" w:hint="eastAsia"/>
          <w:szCs w:val="21"/>
        </w:rPr>
        <w:t>可对阴道镜检查、手术治疗进行针对性的记录和随</w:t>
      </w:r>
      <w:r>
        <w:rPr>
          <w:rFonts w:ascii="宋体" w:hAnsi="宋体" w:hint="eastAsia"/>
          <w:szCs w:val="21"/>
        </w:rPr>
        <w:t>访管理，提供不少于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种打印报告模版，提交患者打印报告后系统自动生成</w:t>
      </w:r>
      <w:r>
        <w:rPr>
          <w:rFonts w:ascii="宋体" w:hAnsi="宋体"/>
          <w:szCs w:val="21"/>
        </w:rPr>
        <w:t>PDF</w:t>
      </w:r>
      <w:r>
        <w:rPr>
          <w:rFonts w:ascii="宋体" w:hAnsi="宋体" w:hint="eastAsia"/>
          <w:szCs w:val="21"/>
        </w:rPr>
        <w:t>文件备份</w:t>
      </w:r>
      <w:r>
        <w:rPr>
          <w:rFonts w:ascii="宋体" w:hAnsi="宋体" w:hint="eastAsia"/>
          <w:szCs w:val="21"/>
        </w:rPr>
        <w:t xml:space="preserve">, </w:t>
      </w:r>
      <w:r>
        <w:rPr>
          <w:rFonts w:ascii="宋体" w:hAnsi="宋体" w:hint="eastAsia"/>
          <w:szCs w:val="21"/>
        </w:rPr>
        <w:t>提供邮件、</w:t>
      </w:r>
      <w:r>
        <w:rPr>
          <w:rFonts w:ascii="宋体" w:hAnsi="宋体" w:hint="eastAsia"/>
          <w:szCs w:val="21"/>
        </w:rPr>
        <w:t>DICOM</w:t>
      </w:r>
      <w:r>
        <w:rPr>
          <w:rFonts w:ascii="宋体" w:hAnsi="宋体" w:hint="eastAsia"/>
          <w:szCs w:val="21"/>
        </w:rPr>
        <w:t>等选择报告发送模式，便于医疗纠纷的追述；</w:t>
      </w:r>
    </w:p>
    <w:p w14:paraId="7C872970" w14:textId="77777777" w:rsidR="00A526E4" w:rsidRDefault="00055BCF">
      <w:pPr>
        <w:snapToGrid w:val="0"/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13.</w:t>
      </w:r>
      <w:r>
        <w:rPr>
          <w:rFonts w:ascii="宋体" w:hAnsi="宋体" w:hint="eastAsia"/>
          <w:szCs w:val="21"/>
        </w:rPr>
        <w:t>可支持</w:t>
      </w:r>
      <w:r>
        <w:rPr>
          <w:rFonts w:ascii="宋体" w:hAnsi="宋体" w:hint="eastAsia"/>
          <w:szCs w:val="21"/>
        </w:rPr>
        <w:t>A4/B5</w:t>
      </w:r>
      <w:r>
        <w:rPr>
          <w:rFonts w:ascii="宋体" w:hAnsi="宋体" w:hint="eastAsia"/>
          <w:szCs w:val="21"/>
        </w:rPr>
        <w:t>打印，方便临床应用；</w:t>
      </w:r>
    </w:p>
    <w:p w14:paraId="684D96E2" w14:textId="77777777" w:rsidR="00A526E4" w:rsidRDefault="00055BCF">
      <w:pPr>
        <w:pStyle w:val="aa"/>
        <w:snapToGrid w:val="0"/>
        <w:spacing w:line="360" w:lineRule="auto"/>
        <w:ind w:left="42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14.</w:t>
      </w:r>
      <w:r>
        <w:rPr>
          <w:rFonts w:ascii="宋体" w:hAnsi="宋体" w:hint="eastAsia"/>
          <w:szCs w:val="21"/>
        </w:rPr>
        <w:t>可对阴道镜检查拟诊结果、病理结果、实验室检查结果、检查医生和开单医生的工作量等进行统计分析，统计结果可以饼图、直方图和折线图形式进行显示，并可输出到</w:t>
      </w:r>
      <w:r>
        <w:rPr>
          <w:rFonts w:ascii="宋体" w:hAnsi="宋体" w:hint="eastAsia"/>
          <w:szCs w:val="21"/>
        </w:rPr>
        <w:t>Excel</w:t>
      </w:r>
      <w:r>
        <w:rPr>
          <w:rFonts w:ascii="宋体" w:hAnsi="宋体" w:hint="eastAsia"/>
          <w:szCs w:val="21"/>
        </w:rPr>
        <w:t>表；</w:t>
      </w:r>
    </w:p>
    <w:p w14:paraId="03A25D35" w14:textId="77777777" w:rsidR="00A526E4" w:rsidRDefault="00055BCF">
      <w:pPr>
        <w:pStyle w:val="aa"/>
        <w:snapToGrid w:val="0"/>
        <w:spacing w:line="360" w:lineRule="auto"/>
        <w:ind w:left="42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15.</w:t>
      </w:r>
      <w:r>
        <w:rPr>
          <w:rFonts w:ascii="宋体" w:hAnsi="宋体" w:hint="eastAsia"/>
          <w:szCs w:val="21"/>
        </w:rPr>
        <w:t>可接入扫描枪，减轻医生护士病人信息输入的时间，提高医生效率；</w:t>
      </w:r>
    </w:p>
    <w:p w14:paraId="06DE6C76" w14:textId="77777777" w:rsidR="00A526E4" w:rsidRDefault="00055BCF">
      <w:pPr>
        <w:pStyle w:val="aa"/>
        <w:snapToGrid w:val="0"/>
        <w:spacing w:line="360" w:lineRule="auto"/>
        <w:ind w:left="42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16.</w:t>
      </w:r>
      <w:r>
        <w:rPr>
          <w:rFonts w:ascii="宋体" w:hAnsi="宋体" w:hint="eastAsia"/>
          <w:szCs w:val="21"/>
        </w:rPr>
        <w:t>提供图片导出导入功能；</w:t>
      </w:r>
    </w:p>
    <w:p w14:paraId="1DF392CE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Cs w:val="21"/>
        </w:rPr>
        <w:t>17.</w:t>
      </w:r>
      <w:r>
        <w:rPr>
          <w:rFonts w:ascii="宋体" w:hAnsi="宋体" w:hint="eastAsia"/>
          <w:szCs w:val="21"/>
        </w:rPr>
        <w:t>提供临床检查过程的帮助文件；</w:t>
      </w:r>
    </w:p>
    <w:p w14:paraId="2453BB8F" w14:textId="77777777" w:rsidR="00A526E4" w:rsidRDefault="00055BCF">
      <w:pPr>
        <w:pStyle w:val="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三、</w:t>
      </w:r>
      <w:r>
        <w:rPr>
          <w:rFonts w:ascii="宋体" w:hAnsi="宋体" w:cs="宋体" w:hint="eastAsia"/>
          <w:b/>
          <w:kern w:val="0"/>
          <w:sz w:val="24"/>
        </w:rPr>
        <w:t>网络应用功能</w:t>
      </w:r>
    </w:p>
    <w:p w14:paraId="3B4F24CE" w14:textId="77777777" w:rsidR="00A526E4" w:rsidRDefault="00055BCF">
      <w:pPr>
        <w:pStyle w:val="1"/>
        <w:snapToGrid w:val="0"/>
        <w:spacing w:line="360" w:lineRule="auto"/>
        <w:ind w:left="42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基于患者为中心的网络数据库系统，对不同阴道镜检查的数据进行统一管理。对患者的阴道镜转诊检查指征、所有的历史病例、诊断术语等进行规范化管理，保证患者数据的一致性；</w:t>
      </w:r>
    </w:p>
    <w:p w14:paraId="6643D417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支持护士工作站、医生工作站和阴道镜工作站互联构成门诊应用网络，提供四级用户权限管理（主任、医生、护士及系统管理者）；</w:t>
      </w:r>
    </w:p>
    <w:p w14:paraId="532C6DB7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提供数据信息的自动备份与恢复功能；</w:t>
      </w:r>
    </w:p>
    <w:p w14:paraId="6A79ECE1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</w:rPr>
        <w:t>为确保网络阴道镜系统使用的安全性及可靠性，在断</w:t>
      </w:r>
      <w:proofErr w:type="gramStart"/>
      <w:r>
        <w:rPr>
          <w:rFonts w:ascii="宋体" w:hAnsi="宋体" w:hint="eastAsia"/>
          <w:szCs w:val="21"/>
        </w:rPr>
        <w:t>网情况</w:t>
      </w:r>
      <w:proofErr w:type="gramEnd"/>
      <w:r>
        <w:rPr>
          <w:rFonts w:ascii="宋体" w:hAnsi="宋体" w:hint="eastAsia"/>
          <w:szCs w:val="21"/>
        </w:rPr>
        <w:t>下，阴道镜也能支持单机运行，网络连通后单机阴道镜能自动恢复与服务器数据同步；</w:t>
      </w:r>
    </w:p>
    <w:p w14:paraId="6281670D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</w:t>
      </w:r>
      <w:r>
        <w:rPr>
          <w:rFonts w:ascii="宋体" w:hAnsi="宋体" w:hint="eastAsia"/>
          <w:szCs w:val="21"/>
        </w:rPr>
        <w:t>转诊信息和病理结果信息综合管理网络化应用，方便门诊业务的统计分析；</w:t>
      </w:r>
    </w:p>
    <w:p w14:paraId="195B4C78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</w:t>
      </w:r>
      <w:r>
        <w:rPr>
          <w:rFonts w:ascii="宋体" w:hAnsi="宋体" w:hint="eastAsia"/>
          <w:szCs w:val="21"/>
        </w:rPr>
        <w:t>提供</w:t>
      </w:r>
      <w:r>
        <w:rPr>
          <w:rFonts w:ascii="宋体" w:hAnsi="宋体" w:hint="eastAsia"/>
          <w:szCs w:val="21"/>
        </w:rPr>
        <w:t>DICOM3.0</w:t>
      </w:r>
      <w:r>
        <w:rPr>
          <w:rFonts w:ascii="宋体" w:hAnsi="宋体" w:hint="eastAsia"/>
          <w:szCs w:val="21"/>
        </w:rPr>
        <w:t>数据交换接口，可方便与医院</w:t>
      </w:r>
      <w:r>
        <w:rPr>
          <w:rFonts w:ascii="宋体" w:hAnsi="宋体" w:hint="eastAsia"/>
          <w:szCs w:val="21"/>
        </w:rPr>
        <w:t>PACS</w:t>
      </w:r>
      <w:r>
        <w:rPr>
          <w:rFonts w:ascii="宋体" w:hAnsi="宋体" w:hint="eastAsia"/>
          <w:szCs w:val="21"/>
        </w:rPr>
        <w:t>系统互联；</w:t>
      </w:r>
    </w:p>
    <w:p w14:paraId="5E915CE7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7.</w:t>
      </w:r>
      <w:r>
        <w:rPr>
          <w:rFonts w:ascii="宋体" w:hAnsi="宋体" w:hint="eastAsia"/>
          <w:color w:val="000000" w:themeColor="text1"/>
          <w:szCs w:val="21"/>
        </w:rPr>
        <w:t>★</w:t>
      </w:r>
      <w:r>
        <w:rPr>
          <w:rFonts w:ascii="宋体" w:hAnsi="宋体" w:hint="eastAsia"/>
          <w:szCs w:val="21"/>
        </w:rPr>
        <w:t>具有广域网连接功能，能够与电子阴道镜数据管理系统联网，便于宫颈门诊中心或</w:t>
      </w:r>
      <w:r>
        <w:rPr>
          <w:rFonts w:ascii="宋体" w:hAnsi="宋体" w:hint="eastAsia"/>
          <w:szCs w:val="21"/>
        </w:rPr>
        <w:lastRenderedPageBreak/>
        <w:t>区域性子宫颈癌早诊早治质控中心更好的开展网络化应用和</w:t>
      </w:r>
      <w:proofErr w:type="gramStart"/>
      <w:r>
        <w:rPr>
          <w:rFonts w:ascii="宋体" w:hAnsi="宋体" w:hint="eastAsia"/>
          <w:szCs w:val="21"/>
        </w:rPr>
        <w:t>质控</w:t>
      </w:r>
      <w:proofErr w:type="gramEnd"/>
      <w:r>
        <w:rPr>
          <w:rFonts w:ascii="宋体" w:hAnsi="宋体" w:hint="eastAsia"/>
          <w:szCs w:val="21"/>
        </w:rPr>
        <w:t>管理，提高管理效率，提升临床诊疗与随访管理的服务质量；</w:t>
      </w:r>
    </w:p>
    <w:p w14:paraId="09A5E46F" w14:textId="77777777" w:rsidR="00A526E4" w:rsidRDefault="00055BCF">
      <w:pPr>
        <w:pStyle w:val="aa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</w:t>
      </w:r>
      <w:r>
        <w:rPr>
          <w:rFonts w:ascii="宋体" w:hAnsi="宋体" w:hint="eastAsia"/>
          <w:szCs w:val="21"/>
        </w:rPr>
        <w:t>提供示教系统，支持阴道镜检查室、</w:t>
      </w:r>
      <w:r>
        <w:rPr>
          <w:rFonts w:ascii="宋体" w:hAnsi="宋体" w:hint="eastAsia"/>
          <w:szCs w:val="21"/>
        </w:rPr>
        <w:t>LEEP</w:t>
      </w:r>
      <w:r>
        <w:rPr>
          <w:rFonts w:ascii="宋体" w:hAnsi="宋体" w:hint="eastAsia"/>
          <w:szCs w:val="21"/>
        </w:rPr>
        <w:t>手术治疗室观察和检查视频在示教室同步输出；并提供双向语音交流，方便教学；</w:t>
      </w:r>
    </w:p>
    <w:p w14:paraId="3C3939FC" w14:textId="77777777" w:rsidR="00A526E4" w:rsidRDefault="00055BCF">
      <w:pPr>
        <w:pStyle w:val="1"/>
        <w:snapToGrid w:val="0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</w:t>
      </w:r>
      <w:r>
        <w:rPr>
          <w:rFonts w:ascii="宋体" w:hAnsi="宋体" w:hint="eastAsia"/>
          <w:szCs w:val="21"/>
        </w:rPr>
        <w:t>支持联网叫号系统，</w:t>
      </w:r>
      <w:r>
        <w:rPr>
          <w:rFonts w:hint="eastAsia"/>
          <w:szCs w:val="21"/>
        </w:rPr>
        <w:t>便于对阴道镜检查患者的分流处理</w:t>
      </w:r>
      <w:r>
        <w:rPr>
          <w:rFonts w:ascii="宋体" w:hAnsi="宋体" w:hint="eastAsia"/>
          <w:szCs w:val="21"/>
        </w:rPr>
        <w:t>，提高工作效率。</w:t>
      </w:r>
    </w:p>
    <w:p w14:paraId="7A725335" w14:textId="77777777" w:rsidR="00A526E4" w:rsidRDefault="00A526E4">
      <w:pPr>
        <w:pStyle w:val="1"/>
        <w:snapToGrid w:val="0"/>
        <w:spacing w:line="360" w:lineRule="auto"/>
        <w:ind w:firstLineChars="0"/>
        <w:rPr>
          <w:rFonts w:ascii="宋体" w:hAnsi="宋体"/>
          <w:szCs w:val="21"/>
        </w:rPr>
      </w:pPr>
    </w:p>
    <w:p w14:paraId="0EEF1038" w14:textId="77777777" w:rsidR="00A526E4" w:rsidRDefault="00A526E4">
      <w:pPr>
        <w:pStyle w:val="1"/>
        <w:snapToGrid w:val="0"/>
        <w:spacing w:line="360" w:lineRule="auto"/>
        <w:ind w:firstLineChars="0"/>
        <w:rPr>
          <w:rFonts w:ascii="宋体" w:hAnsi="宋体"/>
          <w:szCs w:val="21"/>
        </w:rPr>
      </w:pPr>
    </w:p>
    <w:p w14:paraId="044DE07B" w14:textId="77777777" w:rsidR="00A526E4" w:rsidRDefault="00055BCF">
      <w:pPr>
        <w:rPr>
          <w:rFonts w:ascii="方正仿宋_GBK" w:eastAsia="方正仿宋_GBK" w:hAnsi="宋体"/>
          <w:b/>
          <w:bCs/>
          <w:sz w:val="32"/>
          <w:szCs w:val="24"/>
        </w:rPr>
      </w:pPr>
      <w:r>
        <w:rPr>
          <w:rFonts w:ascii="方正仿宋_GBK" w:eastAsia="方正仿宋_GBK" w:hAnsi="宋体"/>
          <w:b/>
          <w:bCs/>
          <w:sz w:val="32"/>
          <w:szCs w:val="24"/>
        </w:rPr>
        <w:object w:dxaOrig="8553" w:dyaOrig="5956" w14:anchorId="0506F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298pt" o:ole="">
            <v:imagedata r:id="rId8" o:title=""/>
          </v:shape>
          <o:OLEObject Type="Embed" ProgID="Word.Document.12" ShapeID="_x0000_i1025" DrawAspect="Content" ObjectID="_1652082425" r:id="rId9"/>
        </w:object>
      </w:r>
    </w:p>
    <w:p w14:paraId="3AA981A3" w14:textId="77777777" w:rsidR="00A526E4" w:rsidRDefault="00055BCF">
      <w:pPr>
        <w:rPr>
          <w:rFonts w:ascii="宋体" w:eastAsia="方正仿宋_GBK" w:hAnsi="宋体"/>
          <w:b/>
          <w:bCs/>
          <w:sz w:val="32"/>
          <w:szCs w:val="24"/>
        </w:rPr>
      </w:pPr>
      <w:r>
        <w:rPr>
          <w:rFonts w:ascii="宋体" w:eastAsia="方正仿宋_GBK" w:hAnsi="宋体" w:hint="eastAsia"/>
          <w:b/>
          <w:bCs/>
          <w:sz w:val="32"/>
          <w:szCs w:val="24"/>
        </w:rPr>
        <w:t>附表二</w:t>
      </w:r>
    </w:p>
    <w:p w14:paraId="13DF117A" w14:textId="77777777" w:rsidR="00A526E4" w:rsidRDefault="00055BCF">
      <w:pPr>
        <w:ind w:firstLineChars="200" w:firstLine="640"/>
        <w:rPr>
          <w:rFonts w:ascii="宋体" w:eastAsia="方正仿宋_GBK" w:hAnsi="宋体"/>
          <w:sz w:val="32"/>
          <w:szCs w:val="24"/>
        </w:rPr>
      </w:pPr>
      <w:r>
        <w:rPr>
          <w:rFonts w:ascii="宋体" w:eastAsia="方正仿宋_GBK" w:hAnsi="宋体" w:hint="eastAsia"/>
          <w:sz w:val="32"/>
          <w:szCs w:val="24"/>
        </w:rPr>
        <w:t xml:space="preserve">                </w:t>
      </w:r>
      <w:r>
        <w:rPr>
          <w:rFonts w:ascii="宋体" w:eastAsia="方正仿宋_GBK" w:hAnsi="宋体" w:hint="eastAsia"/>
          <w:sz w:val="32"/>
          <w:szCs w:val="24"/>
        </w:rPr>
        <w:t>报价表</w:t>
      </w:r>
    </w:p>
    <w:tbl>
      <w:tblPr>
        <w:tblW w:w="96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1559"/>
        <w:gridCol w:w="993"/>
        <w:gridCol w:w="992"/>
        <w:gridCol w:w="1276"/>
        <w:gridCol w:w="1134"/>
      </w:tblGrid>
      <w:tr w:rsidR="00A526E4" w14:paraId="2F48BDB2" w14:textId="77777777">
        <w:tc>
          <w:tcPr>
            <w:tcW w:w="993" w:type="dxa"/>
          </w:tcPr>
          <w:p w14:paraId="6FAE1ED4" w14:textId="77777777" w:rsidR="00A526E4" w:rsidRDefault="00055BCF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序号</w:t>
            </w:r>
          </w:p>
        </w:tc>
        <w:tc>
          <w:tcPr>
            <w:tcW w:w="992" w:type="dxa"/>
          </w:tcPr>
          <w:p w14:paraId="05E19CFC" w14:textId="77777777" w:rsidR="00A526E4" w:rsidRDefault="00055BCF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名称</w:t>
            </w:r>
          </w:p>
        </w:tc>
        <w:tc>
          <w:tcPr>
            <w:tcW w:w="1701" w:type="dxa"/>
          </w:tcPr>
          <w:p w14:paraId="3B502DAA" w14:textId="77777777" w:rsidR="00A526E4" w:rsidRDefault="00055BCF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型号规格</w:t>
            </w:r>
          </w:p>
        </w:tc>
        <w:tc>
          <w:tcPr>
            <w:tcW w:w="1559" w:type="dxa"/>
          </w:tcPr>
          <w:p w14:paraId="0DF49C7E" w14:textId="77777777" w:rsidR="00A526E4" w:rsidRDefault="00055BCF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生产厂家</w:t>
            </w:r>
          </w:p>
        </w:tc>
        <w:tc>
          <w:tcPr>
            <w:tcW w:w="993" w:type="dxa"/>
          </w:tcPr>
          <w:p w14:paraId="7C24370E" w14:textId="77777777" w:rsidR="00A526E4" w:rsidRDefault="00055BCF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数量</w:t>
            </w:r>
          </w:p>
        </w:tc>
        <w:tc>
          <w:tcPr>
            <w:tcW w:w="992" w:type="dxa"/>
          </w:tcPr>
          <w:p w14:paraId="14611783" w14:textId="77777777" w:rsidR="00A526E4" w:rsidRDefault="00055BCF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单价</w:t>
            </w:r>
            <w:r>
              <w:rPr>
                <w:rFonts w:ascii="宋体" w:eastAsia="方正仿宋_GBK" w:hAnsi="宋体" w:hint="eastAsia"/>
                <w:sz w:val="32"/>
                <w:szCs w:val="24"/>
              </w:rPr>
              <w:t>(</w:t>
            </w:r>
            <w:r>
              <w:rPr>
                <w:rFonts w:ascii="宋体" w:eastAsia="方正仿宋_GBK" w:hAnsi="宋体" w:hint="eastAsia"/>
                <w:sz w:val="32"/>
                <w:szCs w:val="24"/>
              </w:rPr>
              <w:t>元</w:t>
            </w:r>
            <w:r>
              <w:rPr>
                <w:rFonts w:ascii="宋体" w:eastAsia="方正仿宋_GBK" w:hAnsi="宋体" w:hint="eastAsia"/>
                <w:sz w:val="32"/>
                <w:szCs w:val="24"/>
              </w:rPr>
              <w:t>)</w:t>
            </w:r>
          </w:p>
        </w:tc>
        <w:tc>
          <w:tcPr>
            <w:tcW w:w="1276" w:type="dxa"/>
          </w:tcPr>
          <w:p w14:paraId="6BCFC724" w14:textId="77777777" w:rsidR="00A526E4" w:rsidRDefault="00055BCF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金额（元）</w:t>
            </w:r>
          </w:p>
        </w:tc>
        <w:tc>
          <w:tcPr>
            <w:tcW w:w="1134" w:type="dxa"/>
          </w:tcPr>
          <w:p w14:paraId="1D17A605" w14:textId="77777777" w:rsidR="00A526E4" w:rsidRDefault="00055BCF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质保期</w:t>
            </w:r>
          </w:p>
        </w:tc>
      </w:tr>
      <w:tr w:rsidR="00A526E4" w14:paraId="37ABFE7B" w14:textId="77777777">
        <w:tc>
          <w:tcPr>
            <w:tcW w:w="993" w:type="dxa"/>
          </w:tcPr>
          <w:p w14:paraId="14A23221" w14:textId="77777777" w:rsidR="00A526E4" w:rsidRDefault="00A526E4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  <w:tc>
          <w:tcPr>
            <w:tcW w:w="992" w:type="dxa"/>
          </w:tcPr>
          <w:p w14:paraId="2D69D503" w14:textId="77777777" w:rsidR="00A526E4" w:rsidRDefault="00A526E4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  <w:tc>
          <w:tcPr>
            <w:tcW w:w="1701" w:type="dxa"/>
          </w:tcPr>
          <w:p w14:paraId="501D9055" w14:textId="77777777" w:rsidR="00A526E4" w:rsidRDefault="00A526E4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  <w:tc>
          <w:tcPr>
            <w:tcW w:w="1559" w:type="dxa"/>
          </w:tcPr>
          <w:p w14:paraId="1936E838" w14:textId="77777777" w:rsidR="00A526E4" w:rsidRDefault="00A526E4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  <w:tc>
          <w:tcPr>
            <w:tcW w:w="993" w:type="dxa"/>
          </w:tcPr>
          <w:p w14:paraId="6A776FED" w14:textId="77777777" w:rsidR="00A526E4" w:rsidRDefault="00A526E4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  <w:tc>
          <w:tcPr>
            <w:tcW w:w="992" w:type="dxa"/>
          </w:tcPr>
          <w:p w14:paraId="030DD129" w14:textId="77777777" w:rsidR="00A526E4" w:rsidRDefault="00A526E4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  <w:tc>
          <w:tcPr>
            <w:tcW w:w="1276" w:type="dxa"/>
          </w:tcPr>
          <w:p w14:paraId="441DC140" w14:textId="77777777" w:rsidR="00A526E4" w:rsidRDefault="00A526E4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  <w:tc>
          <w:tcPr>
            <w:tcW w:w="1134" w:type="dxa"/>
          </w:tcPr>
          <w:p w14:paraId="448B864D" w14:textId="77777777" w:rsidR="00A526E4" w:rsidRDefault="00A526E4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</w:tr>
    </w:tbl>
    <w:p w14:paraId="5C4E8B99" w14:textId="77777777" w:rsidR="00A526E4" w:rsidRDefault="00A526E4">
      <w:pPr>
        <w:ind w:firstLineChars="200" w:firstLine="640"/>
        <w:rPr>
          <w:rFonts w:ascii="宋体" w:eastAsia="方正仿宋_GBK" w:hAnsi="宋体"/>
          <w:sz w:val="32"/>
          <w:szCs w:val="24"/>
        </w:rPr>
      </w:pPr>
    </w:p>
    <w:p w14:paraId="4C4E6165" w14:textId="77777777" w:rsidR="00A526E4" w:rsidRDefault="00A526E4">
      <w:pPr>
        <w:ind w:firstLineChars="200" w:firstLine="640"/>
        <w:rPr>
          <w:rFonts w:ascii="宋体" w:eastAsia="方正仿宋_GBK" w:hAnsi="宋体"/>
          <w:sz w:val="32"/>
          <w:szCs w:val="24"/>
        </w:rPr>
      </w:pPr>
    </w:p>
    <w:p w14:paraId="75FB4059" w14:textId="77777777" w:rsidR="00A526E4" w:rsidRDefault="00A526E4">
      <w:pPr>
        <w:ind w:firstLineChars="200" w:firstLine="640"/>
        <w:rPr>
          <w:rFonts w:ascii="宋体" w:eastAsia="方正仿宋_GBK" w:hAnsi="宋体"/>
          <w:sz w:val="32"/>
          <w:szCs w:val="24"/>
        </w:rPr>
      </w:pPr>
    </w:p>
    <w:p w14:paraId="42E07C4F" w14:textId="77777777" w:rsidR="00A526E4" w:rsidRDefault="00055BCF">
      <w:pPr>
        <w:ind w:firstLineChars="1400" w:firstLine="4480"/>
        <w:rPr>
          <w:rFonts w:ascii="宋体" w:eastAsia="方正仿宋_GBK" w:hAnsi="宋体"/>
          <w:sz w:val="32"/>
          <w:szCs w:val="24"/>
        </w:rPr>
      </w:pPr>
      <w:r>
        <w:rPr>
          <w:rFonts w:ascii="宋体" w:eastAsia="方正仿宋_GBK" w:hAnsi="宋体" w:hint="eastAsia"/>
          <w:sz w:val="32"/>
          <w:szCs w:val="24"/>
        </w:rPr>
        <w:t>公司名称（加盖公章）</w:t>
      </w:r>
    </w:p>
    <w:p w14:paraId="390DC4C8" w14:textId="77777777" w:rsidR="00A526E4" w:rsidRDefault="00055BCF">
      <w:pPr>
        <w:ind w:firstLineChars="200" w:firstLine="640"/>
        <w:rPr>
          <w:rFonts w:ascii="宋体" w:eastAsia="方正仿宋_GBK" w:hAnsi="宋体"/>
          <w:sz w:val="32"/>
          <w:szCs w:val="24"/>
        </w:rPr>
      </w:pPr>
      <w:r>
        <w:rPr>
          <w:rFonts w:ascii="宋体" w:eastAsia="方正仿宋_GBK" w:hAnsi="宋体" w:hint="eastAsia"/>
          <w:sz w:val="32"/>
          <w:szCs w:val="24"/>
        </w:rPr>
        <w:t xml:space="preserve">                       </w:t>
      </w:r>
      <w:r>
        <w:rPr>
          <w:rFonts w:ascii="宋体" w:eastAsia="方正仿宋_GBK" w:hAnsi="宋体" w:hint="eastAsia"/>
          <w:sz w:val="32"/>
          <w:szCs w:val="24"/>
        </w:rPr>
        <w:t>日期</w:t>
      </w:r>
      <w:r>
        <w:rPr>
          <w:rFonts w:ascii="宋体" w:eastAsia="方正仿宋_GBK" w:hAnsi="宋体" w:hint="eastAsia"/>
          <w:sz w:val="32"/>
          <w:szCs w:val="24"/>
        </w:rPr>
        <w:t xml:space="preserve">     </w:t>
      </w:r>
      <w:r>
        <w:rPr>
          <w:rFonts w:ascii="宋体" w:eastAsia="方正仿宋_GBK" w:hAnsi="宋体" w:hint="eastAsia"/>
          <w:sz w:val="32"/>
          <w:szCs w:val="24"/>
        </w:rPr>
        <w:t>年</w:t>
      </w:r>
      <w:r>
        <w:rPr>
          <w:rFonts w:ascii="宋体" w:eastAsia="方正仿宋_GBK" w:hAnsi="宋体" w:hint="eastAsia"/>
          <w:sz w:val="32"/>
          <w:szCs w:val="24"/>
        </w:rPr>
        <w:t xml:space="preserve">   </w:t>
      </w:r>
      <w:r>
        <w:rPr>
          <w:rFonts w:ascii="宋体" w:eastAsia="方正仿宋_GBK" w:hAnsi="宋体" w:hint="eastAsia"/>
          <w:sz w:val="32"/>
          <w:szCs w:val="24"/>
        </w:rPr>
        <w:t>月</w:t>
      </w:r>
      <w:r>
        <w:rPr>
          <w:rFonts w:ascii="宋体" w:eastAsia="方正仿宋_GBK" w:hAnsi="宋体" w:hint="eastAsia"/>
          <w:sz w:val="32"/>
          <w:szCs w:val="24"/>
        </w:rPr>
        <w:t xml:space="preserve">   </w:t>
      </w:r>
      <w:r>
        <w:rPr>
          <w:rFonts w:ascii="宋体" w:eastAsia="方正仿宋_GBK" w:hAnsi="宋体" w:hint="eastAsia"/>
          <w:sz w:val="32"/>
          <w:szCs w:val="24"/>
        </w:rPr>
        <w:t>日</w:t>
      </w:r>
    </w:p>
    <w:p w14:paraId="6042FD94" w14:textId="77777777" w:rsidR="00A526E4" w:rsidRDefault="00A526E4">
      <w:pPr>
        <w:ind w:firstLineChars="200" w:firstLine="640"/>
        <w:rPr>
          <w:rFonts w:ascii="宋体" w:eastAsia="方正仿宋_GBK" w:hAnsi="宋体"/>
          <w:sz w:val="32"/>
          <w:szCs w:val="24"/>
        </w:rPr>
      </w:pPr>
    </w:p>
    <w:sectPr w:rsidR="00A526E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28825" w14:textId="77777777" w:rsidR="00055BCF" w:rsidRDefault="00055BCF">
      <w:r>
        <w:separator/>
      </w:r>
    </w:p>
  </w:endnote>
  <w:endnote w:type="continuationSeparator" w:id="0">
    <w:p w14:paraId="198CE762" w14:textId="77777777" w:rsidR="00055BCF" w:rsidRDefault="0005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9E259" w14:textId="77777777" w:rsidR="00A526E4" w:rsidRDefault="00055BCF">
    <w:pPr>
      <w:pStyle w:val="a4"/>
      <w:ind w:firstLineChars="2100" w:firstLine="378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 w14:paraId="709D60DF" w14:textId="77777777" w:rsidR="00A526E4" w:rsidRDefault="00A526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B0828" w14:textId="77777777" w:rsidR="00055BCF" w:rsidRDefault="00055BCF">
      <w:r>
        <w:separator/>
      </w:r>
    </w:p>
  </w:footnote>
  <w:footnote w:type="continuationSeparator" w:id="0">
    <w:p w14:paraId="5E336DDA" w14:textId="77777777" w:rsidR="00055BCF" w:rsidRDefault="00055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FE"/>
    <w:rsid w:val="00000BA1"/>
    <w:rsid w:val="00007A4C"/>
    <w:rsid w:val="0003112F"/>
    <w:rsid w:val="00031F4E"/>
    <w:rsid w:val="00034460"/>
    <w:rsid w:val="00041B0A"/>
    <w:rsid w:val="00050F80"/>
    <w:rsid w:val="00052BD8"/>
    <w:rsid w:val="00055BCF"/>
    <w:rsid w:val="00056062"/>
    <w:rsid w:val="00056E10"/>
    <w:rsid w:val="00060F3E"/>
    <w:rsid w:val="00077D4F"/>
    <w:rsid w:val="00090414"/>
    <w:rsid w:val="00094170"/>
    <w:rsid w:val="000B3CE8"/>
    <w:rsid w:val="000D7D05"/>
    <w:rsid w:val="001055B1"/>
    <w:rsid w:val="00123DF3"/>
    <w:rsid w:val="00125097"/>
    <w:rsid w:val="00130788"/>
    <w:rsid w:val="00147395"/>
    <w:rsid w:val="001558E6"/>
    <w:rsid w:val="001572C3"/>
    <w:rsid w:val="00162F0F"/>
    <w:rsid w:val="00165332"/>
    <w:rsid w:val="00184E51"/>
    <w:rsid w:val="001862F4"/>
    <w:rsid w:val="001B3C78"/>
    <w:rsid w:val="001B6696"/>
    <w:rsid w:val="001D02D4"/>
    <w:rsid w:val="001D52FE"/>
    <w:rsid w:val="001D7438"/>
    <w:rsid w:val="001D7E23"/>
    <w:rsid w:val="001E6C85"/>
    <w:rsid w:val="001F3C3E"/>
    <w:rsid w:val="001F4534"/>
    <w:rsid w:val="001F62B8"/>
    <w:rsid w:val="0021432A"/>
    <w:rsid w:val="00261332"/>
    <w:rsid w:val="00266BC8"/>
    <w:rsid w:val="00285182"/>
    <w:rsid w:val="002929C8"/>
    <w:rsid w:val="00294462"/>
    <w:rsid w:val="002A2F8F"/>
    <w:rsid w:val="002A47CD"/>
    <w:rsid w:val="002B2951"/>
    <w:rsid w:val="002C055C"/>
    <w:rsid w:val="002C0D38"/>
    <w:rsid w:val="002C6849"/>
    <w:rsid w:val="002E23E0"/>
    <w:rsid w:val="002E47A2"/>
    <w:rsid w:val="002F2250"/>
    <w:rsid w:val="00316933"/>
    <w:rsid w:val="0032114F"/>
    <w:rsid w:val="00324D94"/>
    <w:rsid w:val="00331493"/>
    <w:rsid w:val="0033530D"/>
    <w:rsid w:val="003471DA"/>
    <w:rsid w:val="00353346"/>
    <w:rsid w:val="00356223"/>
    <w:rsid w:val="003621D6"/>
    <w:rsid w:val="00373FD7"/>
    <w:rsid w:val="00383EF1"/>
    <w:rsid w:val="00392A82"/>
    <w:rsid w:val="003A5CD7"/>
    <w:rsid w:val="003B2890"/>
    <w:rsid w:val="00407F59"/>
    <w:rsid w:val="00417A9C"/>
    <w:rsid w:val="004231D0"/>
    <w:rsid w:val="004252EA"/>
    <w:rsid w:val="00440CF0"/>
    <w:rsid w:val="004538C3"/>
    <w:rsid w:val="004A258A"/>
    <w:rsid w:val="004B561C"/>
    <w:rsid w:val="004C1ECA"/>
    <w:rsid w:val="004C26F6"/>
    <w:rsid w:val="004C5980"/>
    <w:rsid w:val="004C730B"/>
    <w:rsid w:val="004E3220"/>
    <w:rsid w:val="005109B6"/>
    <w:rsid w:val="00514105"/>
    <w:rsid w:val="005202C9"/>
    <w:rsid w:val="00522AD7"/>
    <w:rsid w:val="0052618E"/>
    <w:rsid w:val="005275C8"/>
    <w:rsid w:val="005449AC"/>
    <w:rsid w:val="00546F16"/>
    <w:rsid w:val="00553F95"/>
    <w:rsid w:val="0056328D"/>
    <w:rsid w:val="00581587"/>
    <w:rsid w:val="00582885"/>
    <w:rsid w:val="005A4A10"/>
    <w:rsid w:val="005C40B4"/>
    <w:rsid w:val="005C5911"/>
    <w:rsid w:val="005E4C7E"/>
    <w:rsid w:val="006067E1"/>
    <w:rsid w:val="00626E7A"/>
    <w:rsid w:val="00637CEC"/>
    <w:rsid w:val="00652B02"/>
    <w:rsid w:val="00655A2A"/>
    <w:rsid w:val="00661148"/>
    <w:rsid w:val="006828B6"/>
    <w:rsid w:val="006B5E60"/>
    <w:rsid w:val="006C4A79"/>
    <w:rsid w:val="006C6088"/>
    <w:rsid w:val="006D04C5"/>
    <w:rsid w:val="006D67CC"/>
    <w:rsid w:val="006D7E76"/>
    <w:rsid w:val="006E320C"/>
    <w:rsid w:val="006F05FE"/>
    <w:rsid w:val="00703661"/>
    <w:rsid w:val="00714927"/>
    <w:rsid w:val="00720C54"/>
    <w:rsid w:val="00745731"/>
    <w:rsid w:val="00747D93"/>
    <w:rsid w:val="00760819"/>
    <w:rsid w:val="007669C4"/>
    <w:rsid w:val="00771F83"/>
    <w:rsid w:val="00777428"/>
    <w:rsid w:val="00780AD2"/>
    <w:rsid w:val="00786F44"/>
    <w:rsid w:val="0079024C"/>
    <w:rsid w:val="007911F5"/>
    <w:rsid w:val="0079533A"/>
    <w:rsid w:val="007B6877"/>
    <w:rsid w:val="007E570B"/>
    <w:rsid w:val="008062A3"/>
    <w:rsid w:val="00812FAA"/>
    <w:rsid w:val="00815414"/>
    <w:rsid w:val="008156A7"/>
    <w:rsid w:val="00840DB4"/>
    <w:rsid w:val="0086132A"/>
    <w:rsid w:val="00861F90"/>
    <w:rsid w:val="00866104"/>
    <w:rsid w:val="0087483A"/>
    <w:rsid w:val="00877AE7"/>
    <w:rsid w:val="0089281D"/>
    <w:rsid w:val="00893506"/>
    <w:rsid w:val="008A3244"/>
    <w:rsid w:val="008E0ED5"/>
    <w:rsid w:val="008E5310"/>
    <w:rsid w:val="008F30A8"/>
    <w:rsid w:val="009016D3"/>
    <w:rsid w:val="0091034E"/>
    <w:rsid w:val="00911D72"/>
    <w:rsid w:val="00913BAB"/>
    <w:rsid w:val="00936D51"/>
    <w:rsid w:val="0097760D"/>
    <w:rsid w:val="009825C1"/>
    <w:rsid w:val="00986BB6"/>
    <w:rsid w:val="009B2B31"/>
    <w:rsid w:val="009C5B8F"/>
    <w:rsid w:val="009C7B1C"/>
    <w:rsid w:val="009D28BE"/>
    <w:rsid w:val="009E031B"/>
    <w:rsid w:val="009E5FD7"/>
    <w:rsid w:val="00A0383B"/>
    <w:rsid w:val="00A07AC4"/>
    <w:rsid w:val="00A112AE"/>
    <w:rsid w:val="00A26147"/>
    <w:rsid w:val="00A31AF0"/>
    <w:rsid w:val="00A43BDB"/>
    <w:rsid w:val="00A526E4"/>
    <w:rsid w:val="00A6179E"/>
    <w:rsid w:val="00A7316B"/>
    <w:rsid w:val="00A923B9"/>
    <w:rsid w:val="00A945FB"/>
    <w:rsid w:val="00AB2B06"/>
    <w:rsid w:val="00AC48CC"/>
    <w:rsid w:val="00AC48D5"/>
    <w:rsid w:val="00AD6A9F"/>
    <w:rsid w:val="00AE2342"/>
    <w:rsid w:val="00AE5998"/>
    <w:rsid w:val="00AF730E"/>
    <w:rsid w:val="00B026F8"/>
    <w:rsid w:val="00B06912"/>
    <w:rsid w:val="00B22DC1"/>
    <w:rsid w:val="00B26FA2"/>
    <w:rsid w:val="00B336F4"/>
    <w:rsid w:val="00B36ED3"/>
    <w:rsid w:val="00B501C6"/>
    <w:rsid w:val="00B54D3D"/>
    <w:rsid w:val="00B66578"/>
    <w:rsid w:val="00B81BD8"/>
    <w:rsid w:val="00B8281F"/>
    <w:rsid w:val="00B83CEE"/>
    <w:rsid w:val="00BC4FFB"/>
    <w:rsid w:val="00BD1B35"/>
    <w:rsid w:val="00BD3EB6"/>
    <w:rsid w:val="00C02893"/>
    <w:rsid w:val="00C07928"/>
    <w:rsid w:val="00C2095B"/>
    <w:rsid w:val="00C337C3"/>
    <w:rsid w:val="00C613B7"/>
    <w:rsid w:val="00C80313"/>
    <w:rsid w:val="00C80320"/>
    <w:rsid w:val="00C8215C"/>
    <w:rsid w:val="00CA1323"/>
    <w:rsid w:val="00CB26B6"/>
    <w:rsid w:val="00CB514A"/>
    <w:rsid w:val="00CB6F2D"/>
    <w:rsid w:val="00CC364F"/>
    <w:rsid w:val="00CD5BB4"/>
    <w:rsid w:val="00CE10F0"/>
    <w:rsid w:val="00D064D7"/>
    <w:rsid w:val="00D2113E"/>
    <w:rsid w:val="00D25AF7"/>
    <w:rsid w:val="00D32264"/>
    <w:rsid w:val="00D446EC"/>
    <w:rsid w:val="00D51A67"/>
    <w:rsid w:val="00D54AD0"/>
    <w:rsid w:val="00D56454"/>
    <w:rsid w:val="00D61DC0"/>
    <w:rsid w:val="00D6513A"/>
    <w:rsid w:val="00D6684C"/>
    <w:rsid w:val="00D77033"/>
    <w:rsid w:val="00D86CA6"/>
    <w:rsid w:val="00D95EB7"/>
    <w:rsid w:val="00DA6303"/>
    <w:rsid w:val="00E07E76"/>
    <w:rsid w:val="00E209B0"/>
    <w:rsid w:val="00E27D6A"/>
    <w:rsid w:val="00E30297"/>
    <w:rsid w:val="00E3205F"/>
    <w:rsid w:val="00E3290A"/>
    <w:rsid w:val="00E42AFA"/>
    <w:rsid w:val="00E61409"/>
    <w:rsid w:val="00E663AE"/>
    <w:rsid w:val="00E75180"/>
    <w:rsid w:val="00E90406"/>
    <w:rsid w:val="00EA150C"/>
    <w:rsid w:val="00EC2B9F"/>
    <w:rsid w:val="00EC7037"/>
    <w:rsid w:val="00ED760D"/>
    <w:rsid w:val="00F038A6"/>
    <w:rsid w:val="00F215B1"/>
    <w:rsid w:val="00F32A73"/>
    <w:rsid w:val="00F34E8F"/>
    <w:rsid w:val="00F42041"/>
    <w:rsid w:val="00F55E60"/>
    <w:rsid w:val="00F83DAF"/>
    <w:rsid w:val="00F85587"/>
    <w:rsid w:val="00F91802"/>
    <w:rsid w:val="00F95CC4"/>
    <w:rsid w:val="00FA775F"/>
    <w:rsid w:val="00FB0D0A"/>
    <w:rsid w:val="0C3E514A"/>
    <w:rsid w:val="18014D5D"/>
    <w:rsid w:val="1AAB4C6F"/>
    <w:rsid w:val="1B9B4317"/>
    <w:rsid w:val="1E3A48B3"/>
    <w:rsid w:val="21E92263"/>
    <w:rsid w:val="2C1D020E"/>
    <w:rsid w:val="2C7E775F"/>
    <w:rsid w:val="3BC75260"/>
    <w:rsid w:val="456C489D"/>
    <w:rsid w:val="65004D12"/>
    <w:rsid w:val="75943301"/>
    <w:rsid w:val="79E14EF5"/>
    <w:rsid w:val="7F2F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BAE352"/>
  <w15:docId w15:val="{DF5B1DC2-FC4F-4402-99A7-B7A042DF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pPr>
      <w:spacing w:line="720" w:lineRule="exact"/>
      <w:ind w:firstLine="601"/>
    </w:pPr>
    <w:rPr>
      <w:rFonts w:ascii="宋体" w:hAnsi="宋体"/>
      <w:sz w:val="24"/>
      <w:szCs w:val="2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6FDEE9-1365-4915-8F1C-16E0ADE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348</Words>
  <Characters>1987</Characters>
  <Application>Microsoft Office Word</Application>
  <DocSecurity>0</DocSecurity>
  <Lines>16</Lines>
  <Paragraphs>4</Paragraphs>
  <ScaleCrop>false</ScaleCrop>
  <Company>Microsoft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岐黄健康管理有限公司</cp:lastModifiedBy>
  <cp:revision>2</cp:revision>
  <cp:lastPrinted>2020-03-02T00:23:00Z</cp:lastPrinted>
  <dcterms:created xsi:type="dcterms:W3CDTF">2020-05-27T03:01:00Z</dcterms:created>
  <dcterms:modified xsi:type="dcterms:W3CDTF">2020-05-27T03:01:00Z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